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巴彦淖尔市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局</w:t>
      </w:r>
    </w:p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仿宋"/>
          <w:color w:val="2F2F2F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根据《中华人民共和国政府信息公开条例》要求，现向社会公布巴彦淖尔市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eastAsia="zh-CN"/>
        </w:rPr>
        <w:t>应急管理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局20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年政府信息公开工作年度报告。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2F2F2F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严格按照《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eastAsia="zh-CN"/>
        </w:rPr>
        <w:t>进一步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完善政府信息公开工作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让政府信息公开工作落到实处。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eastAsia="zh-CN"/>
        </w:rPr>
        <w:t>一是主动公开方面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市应急管理局着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力加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工作部署，全面推进政务公开。制定政务信息公开、政务公开考核等相关制度，对全面推进政务公开工作进行系统部署，突出工作重点，细化任务分解，明确提出推进决策全流程公开、执行全方位公开、管理全领域公开、服务全过程公开、结果全维度公开的具体标准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截至2022年12月底，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主动公开各类信息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939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shd w:val="clear" w:color="auto" w:fill="auto"/>
          <w:lang w:eastAsia="zh-CN"/>
        </w:rPr>
        <w:t>条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，其中工作动态等政务动态类信息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931条，部门预决算等信息公开目录类信息8条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val="en-US" w:eastAsia="zh-CN"/>
        </w:rPr>
        <w:t>二是政府信息管理方面。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完善政务信息常态化管理机制，不断建立健全政务信息制作、公开、存档等制度。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eastAsia="zh-CN"/>
        </w:rPr>
        <w:t>依申请公开方面。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市应急管理局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深入贯彻落实国务院和自治区政府关于依申请公开工作部署，按照受理渠道畅通、办理程序合法、答复规范及时的要求，建立健全依申请公开工作制度，规范办理流程。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年市应急管理局受理依申请公开0件。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b/>
          <w:bCs/>
          <w:color w:val="333333"/>
          <w:kern w:val="0"/>
          <w:sz w:val="32"/>
          <w:szCs w:val="32"/>
          <w:lang w:eastAsia="zh-CN"/>
        </w:rPr>
        <w:t>政府信息公开行政复议、行政诉讼方面。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年市应急管理局收到公开行政复议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件，行政诉讼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件。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  <w:lang w:eastAsia="zh-CN"/>
        </w:rPr>
        <w:t>政府信息公开平台建设方面。</w:t>
      </w:r>
      <w:r>
        <w:rPr>
          <w:rFonts w:hint="eastAsia" w:ascii="仿宋_GB2312" w:hAnsi="仿宋" w:eastAsia="仿宋_GB2312" w:cs="仿宋"/>
          <w:b w:val="0"/>
          <w:bCs w:val="0"/>
          <w:color w:val="2F2F2F"/>
          <w:kern w:val="0"/>
          <w:sz w:val="32"/>
          <w:szCs w:val="32"/>
          <w:lang w:eastAsia="zh-CN"/>
        </w:rPr>
        <w:t>按照市政务服务局和市大数据中心考核要求，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市应急管理</w:t>
      </w:r>
      <w:r>
        <w:rPr>
          <w:rFonts w:hint="eastAsia" w:ascii="仿宋_GB2312" w:hAnsi="仿宋" w:eastAsia="仿宋_GB2312" w:cs="仿宋"/>
          <w:b w:val="0"/>
          <w:bCs w:val="0"/>
          <w:color w:val="2F2F2F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对规范政务公开网站栏目，全面接受社会监督，让权力在阳光下运行。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  <w:lang w:eastAsia="zh-CN"/>
        </w:rPr>
        <w:t>六是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</w:rPr>
        <w:t>监督保障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仿宋" w:eastAsia="仿宋_GB2312" w:cs="仿宋"/>
          <w:b/>
          <w:bCs/>
          <w:color w:val="2F2F2F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市应急管理局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多方面加强对政务公开工作的监督与保障。完善组织领导机制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及时调整政务公开领导小组，全权负责政务公开工作的领导和工作指导。</w:t>
      </w:r>
    </w:p>
    <w:p>
      <w:pPr>
        <w:widowControl/>
        <w:spacing w:after="100" w:afterAutospacing="1" w:line="560" w:lineRule="atLeast"/>
        <w:ind w:firstLine="641"/>
        <w:rPr>
          <w:rFonts w:ascii="黑体" w:hAnsi="黑体" w:eastAsia="黑体" w:cs="黑体"/>
          <w:color w:val="2F2F2F"/>
          <w:sz w:val="32"/>
          <w:szCs w:val="32"/>
        </w:rPr>
      </w:pPr>
      <w:r>
        <w:rPr>
          <w:rFonts w:hint="eastAsia" w:ascii="黑体" w:hAnsi="黑体" w:eastAsia="黑体" w:cs="黑体"/>
          <w:color w:val="2F2F2F"/>
          <w:kern w:val="0"/>
          <w:sz w:val="32"/>
          <w:szCs w:val="32"/>
        </w:rPr>
        <w:t>二、主动公开政府信息的情况</w:t>
      </w:r>
    </w:p>
    <w:tbl>
      <w:tblPr>
        <w:tblStyle w:val="4"/>
        <w:tblW w:w="8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8"/>
        <w:gridCol w:w="1904"/>
        <w:gridCol w:w="1476"/>
        <w:gridCol w:w="1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第二十条第（一）项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现行有效件数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规章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规范性文件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23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第二十条第（五）项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信息内容 </w:t>
            </w:r>
          </w:p>
        </w:tc>
        <w:tc>
          <w:tcPr>
            <w:tcW w:w="5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行政许可 </w:t>
            </w:r>
          </w:p>
        </w:tc>
        <w:tc>
          <w:tcPr>
            <w:tcW w:w="537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147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2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第二十条第（六）项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信息内容 </w:t>
            </w:r>
          </w:p>
        </w:tc>
        <w:tc>
          <w:tcPr>
            <w:tcW w:w="53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行政处罚 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行政强制 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23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第二十条第（八）项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信息内容 </w:t>
            </w:r>
          </w:p>
        </w:tc>
        <w:tc>
          <w:tcPr>
            <w:tcW w:w="53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本年收费金额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8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行政事业性收费 </w:t>
            </w:r>
          </w:p>
        </w:tc>
        <w:tc>
          <w:tcPr>
            <w:tcW w:w="53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pacing w:before="0" w:beforeAutospacing="0" w:after="0" w:afterAutospacing="0"/>
        <w:jc w:val="both"/>
        <w:rPr>
          <w:rFonts w:ascii="黑体" w:hAnsi="黑体" w:eastAsia="黑体" w:cs="黑体"/>
          <w:color w:val="2F2F2F"/>
          <w:sz w:val="32"/>
          <w:szCs w:val="32"/>
        </w:rPr>
      </w:pPr>
      <w:r>
        <w:rPr>
          <w:rFonts w:hint="eastAsia" w:ascii="黑体" w:hAnsi="黑体" w:eastAsia="黑体" w:cs="黑体"/>
          <w:color w:val="2F2F2F"/>
          <w:sz w:val="32"/>
          <w:szCs w:val="32"/>
        </w:rPr>
        <w:t>三、收到和处理政府信息公开申请情况</w:t>
      </w:r>
    </w:p>
    <w:tbl>
      <w:tblPr>
        <w:tblStyle w:val="4"/>
        <w:tblW w:w="84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960"/>
        <w:gridCol w:w="2331"/>
        <w:gridCol w:w="554"/>
        <w:gridCol w:w="646"/>
        <w:gridCol w:w="692"/>
        <w:gridCol w:w="647"/>
        <w:gridCol w:w="819"/>
        <w:gridCol w:w="507"/>
        <w:gridCol w:w="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410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（本列数据的勾稽关系为：第一项加第二项之和，等于第三项加第四项之和） </w:t>
            </w:r>
          </w:p>
        </w:tc>
        <w:tc>
          <w:tcPr>
            <w:tcW w:w="43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41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自然人 </w:t>
            </w:r>
          </w:p>
        </w:tc>
        <w:tc>
          <w:tcPr>
            <w:tcW w:w="331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法人或其他组织 </w:t>
            </w:r>
          </w:p>
        </w:tc>
        <w:tc>
          <w:tcPr>
            <w:tcW w:w="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41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5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商业企业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科研机构 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社会公益组织 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法律服务机构 </w:t>
            </w:r>
          </w:p>
        </w:tc>
        <w:tc>
          <w:tcPr>
            <w:tcW w:w="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其他 </w:t>
            </w:r>
          </w:p>
        </w:tc>
        <w:tc>
          <w:tcPr>
            <w:tcW w:w="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4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一、本年新收政府信息公开申请数量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4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二、上年结转政府信息公开申请数量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三、本年度办理结果 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left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（一）予以公开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（二）部分公开（</w:t>
            </w:r>
            <w:r>
              <w:rPr>
                <w:rFonts w:hint="eastAsia" w:ascii="仿宋_GB2312" w:hAnsi="仿宋_GB2312" w:eastAsia="仿宋_GB2312" w:cs="仿宋_GB2312"/>
                <w:color w:val="212529"/>
                <w:kern w:val="0"/>
                <w:sz w:val="21"/>
                <w:szCs w:val="21"/>
                <w:lang w:val="en-US" w:eastAsia="zh-CN" w:bidi="ar"/>
              </w:rPr>
              <w:t>区分处理的，只计这一情形，不计其他情形</w:t>
            </w: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）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（三）不予公开 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1.属于国家秘密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2.其他法律行政法规禁止公开 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3.危及“三安全一稳定” 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4.保护第三方合法权益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5.属于三类内部事务信息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6.属于四类过程性信息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7.属于行政执法案卷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8.属于行政查询事项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（四）无法提供 </w:t>
            </w:r>
          </w:p>
        </w:tc>
        <w:tc>
          <w:tcPr>
            <w:tcW w:w="2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1.本机关不掌握相关政府信息 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2.没有现成信息需要另行制作 </w:t>
            </w:r>
          </w:p>
        </w:tc>
        <w:tc>
          <w:tcPr>
            <w:tcW w:w="5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3.补正后申请内容仍不明确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right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（五）不予处理 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1.信访举报投诉类申请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2.重复申请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3.要求提供公开出版物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4.无正当理由大量反复申请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tLeast"/>
              <w:ind w:left="0" w:right="0" w:firstLine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5.要求行政机关确认或重新出具已获取信息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（六）其他处理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（七）总计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四、结转下年度继续办理 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</w:tr>
    </w:tbl>
    <w:p>
      <w:pPr>
        <w:pStyle w:val="3"/>
        <w:widowControl/>
        <w:spacing w:before="0" w:beforeAutospacing="0" w:after="0" w:afterAutospacing="0"/>
        <w:jc w:val="both"/>
        <w:rPr>
          <w:rFonts w:ascii="微软雅黑" w:hAnsi="微软雅黑" w:eastAsia="微软雅黑" w:cs="微软雅黑"/>
          <w:color w:val="2F2F2F"/>
        </w:rPr>
      </w:pPr>
      <w:r>
        <w:rPr>
          <w:rFonts w:hint="eastAsia" w:ascii="黑体" w:hAnsi="黑体" w:eastAsia="黑体" w:cs="黑体"/>
          <w:color w:val="2F2F2F"/>
          <w:sz w:val="32"/>
          <w:szCs w:val="32"/>
        </w:rPr>
        <w:t>四、政府信息公开行政复议、行政诉讼情况</w:t>
      </w:r>
      <w:r>
        <w:rPr>
          <w:rFonts w:ascii="Times New Roman" w:hAnsi="Times New Roman" w:eastAsia="微软雅黑"/>
          <w:color w:val="333333"/>
        </w:rPr>
        <w:t> </w:t>
      </w:r>
    </w:p>
    <w:tbl>
      <w:tblPr>
        <w:tblStyle w:val="4"/>
        <w:tblW w:w="85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615"/>
        <w:gridCol w:w="585"/>
        <w:gridCol w:w="503"/>
        <w:gridCol w:w="492"/>
        <w:gridCol w:w="645"/>
        <w:gridCol w:w="676"/>
        <w:gridCol w:w="605"/>
        <w:gridCol w:w="605"/>
        <w:gridCol w:w="469"/>
        <w:gridCol w:w="645"/>
        <w:gridCol w:w="550"/>
        <w:gridCol w:w="570"/>
        <w:gridCol w:w="540"/>
        <w:gridCol w:w="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57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40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结果维持 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结果纠正 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其他结果 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尚未审结 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总计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未经复议直接起诉 </w:t>
            </w:r>
          </w:p>
        </w:tc>
        <w:tc>
          <w:tcPr>
            <w:tcW w:w="274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 w:firstLine="40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复议后起诉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color w:val="212529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结果维持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结果纠正 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其他结果 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尚未审结 </w:t>
            </w:r>
          </w:p>
        </w:tc>
        <w:tc>
          <w:tcPr>
            <w:tcW w:w="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总计 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结果维持 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结果纠正 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其他结果 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尚未审结 </w:t>
            </w:r>
          </w:p>
        </w:tc>
        <w:tc>
          <w:tcPr>
            <w:tcW w:w="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总计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 xml:space="preserve">0 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212529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widowControl/>
        <w:jc w:val="both"/>
        <w:rPr>
          <w:rFonts w:ascii="仿宋" w:hAnsi="仿宋" w:eastAsia="仿宋" w:cs="仿宋"/>
          <w:color w:val="2F2F2F"/>
          <w:kern w:val="0"/>
          <w:sz w:val="32"/>
          <w:szCs w:val="32"/>
        </w:rPr>
      </w:pPr>
      <w:r>
        <w:rPr>
          <w:rFonts w:ascii="Times New Roman" w:hAnsi="Times New Roman" w:eastAsia="微软雅黑"/>
          <w:color w:val="333333"/>
          <w:kern w:val="0"/>
          <w:sz w:val="24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应急管理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局政务信息公开工作立足直接服务人民群众的实际，就政务服务事项、办事指南、办事流程、办事窗口等及时通过线上线下全面准确公开，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但工作中仍然存在不足之处，主要是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政务公开标准化规范化工作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有待进一步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提高。下一步工作中，市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应急管理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局将以问题为导向，根据政务公开有关要求，重点做好以下几方面工作：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"/>
          <w:b/>
          <w:bCs/>
          <w:color w:val="2F2F2F"/>
          <w:sz w:val="32"/>
          <w:szCs w:val="32"/>
        </w:rPr>
        <w:t>是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拓宽公开渠道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val="en-US" w:eastAsia="zh-CN"/>
        </w:rPr>
        <w:t>强化政务信息公开的日常管理。</w:t>
      </w:r>
      <w:r>
        <w:rPr>
          <w:rFonts w:hint="eastAsia" w:ascii="仿宋_GB2312" w:hAnsi="仿宋" w:eastAsia="仿宋_GB2312" w:cs="仿宋"/>
          <w:b/>
          <w:bCs/>
          <w:color w:val="2F2F2F"/>
          <w:sz w:val="32"/>
          <w:szCs w:val="32"/>
          <w:lang w:eastAsia="zh-CN"/>
        </w:rPr>
        <w:t>二是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val="en-US" w:eastAsia="zh-CN"/>
        </w:rPr>
        <w:t>优化政府网站平台设置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val="en-US" w:eastAsia="zh-CN"/>
        </w:rPr>
        <w:t>按规范设置子栏目，优化栏目页面设置和检索功能，及时发布并适时更新主动公开内容，促进平台规范化建设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b/>
          <w:bCs/>
          <w:color w:val="2F2F2F"/>
          <w:sz w:val="32"/>
          <w:szCs w:val="32"/>
        </w:rPr>
        <w:t>三是</w:t>
      </w:r>
      <w:r>
        <w:rPr>
          <w:rFonts w:hint="eastAsia" w:ascii="仿宋_GB2312" w:hAnsi="仿宋" w:eastAsia="仿宋_GB2312" w:cs="仿宋"/>
          <w:b w:val="0"/>
          <w:bCs w:val="0"/>
          <w:color w:val="2F2F2F"/>
          <w:sz w:val="32"/>
          <w:szCs w:val="32"/>
          <w:lang w:eastAsia="zh-CN"/>
        </w:rPr>
        <w:t>持续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强化群众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参与渠道。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进一步完善市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应急管理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局官网和微信公众号功能，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提升群众参与度，让政策制定更加符合群众所盼。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六、其他需报告的事项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本年度</w:t>
      </w:r>
      <w:r>
        <w:rPr>
          <w:rFonts w:hint="eastAsia" w:ascii="仿宋_GB2312" w:hAnsi="仿宋" w:eastAsia="仿宋_GB2312" w:cs="仿宋"/>
          <w:b w:val="0"/>
          <w:bCs w:val="0"/>
          <w:color w:val="333333"/>
          <w:kern w:val="0"/>
          <w:sz w:val="32"/>
          <w:szCs w:val="32"/>
          <w:lang w:eastAsia="zh-CN"/>
        </w:rPr>
        <w:t>市应急管理局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未涉及到信息公开的费用收缴情况。20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年市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eastAsia="zh-CN"/>
        </w:rPr>
        <w:t>应急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局微信公众号公开信息</w:t>
      </w:r>
      <w:r>
        <w:rPr>
          <w:rFonts w:hint="eastAsia" w:ascii="仿宋_GB2312" w:hAnsi="仿宋" w:eastAsia="仿宋_GB2312" w:cs="仿宋"/>
          <w:color w:val="2F2F2F"/>
          <w:sz w:val="32"/>
          <w:szCs w:val="32"/>
          <w:lang w:val="en-US" w:eastAsia="zh-CN"/>
        </w:rPr>
        <w:t>1480</w:t>
      </w:r>
      <w:r>
        <w:rPr>
          <w:rFonts w:hint="eastAsia" w:ascii="仿宋_GB2312" w:hAnsi="仿宋" w:eastAsia="仿宋_GB2312" w:cs="仿宋"/>
          <w:color w:val="2F2F2F"/>
          <w:sz w:val="32"/>
          <w:szCs w:val="32"/>
        </w:rPr>
        <w:t>条。</w:t>
      </w:r>
    </w:p>
    <w:p>
      <w:pPr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4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0525"/>
    <w:rsid w:val="18CD20DB"/>
    <w:rsid w:val="665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2023-02-03T08:33:00Z</dcterms:created>
  <dc:creator>黄烨</dc:creator>
  <cp:lastModifiedBy>黄烨</cp:lastModifiedBy>
  <dcterms:modified xsi:type="dcterms:W3CDTF">2023-02-03T09:46:21Z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